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070F0E"/>
  <w:body>
    <w:p>
      <w:pPr>
        <w:spacing w:after="60"/>
      </w:pPr>
      <w:r>
        <w:rPr>
          <w:rFonts w:ascii="JetBrains Mono" w:cs="JetBrains Mono" w:eastAsia="JetBrains Mono" w:hAnsi="JetBrains Mono"/>
          <w:color w:val="3FE0C5"/>
          <w:spacing w:val="20"/>
          <w:sz w:val="15"/>
          <w:szCs w:val="15"/>
        </w:rPr>
        <w:t xml:space="preserve">● EXEMPLO ILUSTRATIVO · DADOS FICTÍCIOS · SALA DE CONTROLE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/>
              <w:left w:val="none"/>
              <w:bottom w:val="none"/>
              <w:right w:val="none"/>
            </w:tcBorders>
            <w:shd w:fill="0C1917" w:val="clear"/>
            <w:tcMar>
              <w:top w:type="dxa" w:w="280"/>
              <w:left w:type="dxa" w:w="260"/>
              <w:bottom w:type="dxa" w:w="300"/>
              <w:right w:type="dxa" w:w="260"/>
            </w:tcMar>
          </w:tcPr>
          <w:p>
            <w:pPr>
              <w:spacing w:after="120"/>
            </w:pPr>
            <w:r>
              <w:rPr>
                <w:rFonts w:ascii="JetBrains Mono" w:cs="JetBrains Mono" w:eastAsia="JetBrains Mono" w:hAnsi="JetBrains Mono"/>
                <w:b/>
                <w:bCs/>
                <w:color w:val="070F0E"/>
                <w:spacing w:val="20"/>
                <w:sz w:val="15"/>
                <w:szCs w:val="15"/>
                <w:shd w:fill="3FE0C5" w:val="clear"/>
              </w:rPr>
              <w:t xml:space="preserve">  ENTREGUE NO MESMO DIA  </w:t>
            </w:r>
          </w:p>
          <w:p>
            <w:r>
              <w:rPr>
                <w:rFonts w:ascii="Syne" w:cs="Syne" w:eastAsia="Syne" w:hAnsi="Syne"/>
                <w:b/>
                <w:bCs/>
                <w:color w:val="FFFFFF"/>
                <w:sz w:val="48"/>
                <w:szCs w:val="48"/>
              </w:rPr>
              <w:t xml:space="preserve">Síntese da imersão de liderança</w:t>
            </w:r>
          </w:p>
          <w:p>
            <w:pPr>
              <w:spacing w:before="80"/>
            </w:pPr>
            <w:r>
              <w:rPr>
                <w:rFonts w:ascii="Syne" w:cs="Syne" w:eastAsia="Syne" w:hAnsi="Syne"/>
                <w:color w:val="9DB3AC"/>
                <w:sz w:val="24"/>
                <w:szCs w:val="24"/>
              </w:rPr>
              <w:t xml:space="preserve">Empresa Exemplo · gerada ao vivo durante o workshop</w:t>
            </w:r>
          </w:p>
        </w:tc>
      </w:tr>
    </w:tbl>
    <w:p>
      <w:pPr>
        <w:spacing w:after="80" w:before="320"/>
      </w:pPr>
      <w:r>
        <w:rPr>
          <w:rFonts w:ascii="JetBrains Mono" w:cs="JetBrains Mono" w:eastAsia="JetBrains Mono" w:hAnsi="JetBrains Mono"/>
          <w:b/>
          <w:bCs/>
          <w:color w:val="3FE0C5"/>
          <w:spacing w:val="30"/>
          <w:sz w:val="17"/>
          <w:szCs w:val="17"/>
        </w:rPr>
        <w:t xml:space="preserve">01 · METADADOS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c>
          <w:tcPr>
            <w:tcW w:type="dxa" w:w="34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6"/>
                <w:szCs w:val="16"/>
              </w:rPr>
              <w:t xml:space="preserve">TIPO</w:t>
            </w:r>
          </w:p>
        </w:tc>
        <w:tc>
          <w:tcPr>
            <w:tcW w:type="dxa" w:w="66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color w:val="E9F0EC"/>
                <w:sz w:val="21"/>
                <w:szCs w:val="21"/>
              </w:rPr>
              <w:t xml:space="preserve">Imersão de liderança e cultura</w:t>
            </w:r>
          </w:p>
        </w:tc>
      </w:tr>
      <w:tr>
        <w:tc>
          <w:tcPr>
            <w:tcW w:type="dxa" w:w="34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6"/>
                <w:szCs w:val="16"/>
              </w:rPr>
              <w:t xml:space="preserve">CLIENTE</w:t>
            </w:r>
          </w:p>
        </w:tc>
        <w:tc>
          <w:tcPr>
            <w:tcW w:type="dxa" w:w="66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color w:val="E9F0EC"/>
                <w:sz w:val="21"/>
                <w:szCs w:val="21"/>
              </w:rPr>
              <w:t xml:space="preserve">Empresa Exemplo (indústria de bens de consumo, médio porte)</w:t>
            </w:r>
          </w:p>
        </w:tc>
      </w:tr>
      <w:tr>
        <w:tc>
          <w:tcPr>
            <w:tcW w:type="dxa" w:w="34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6"/>
                <w:szCs w:val="16"/>
              </w:rPr>
              <w:t xml:space="preserve">PARTICIPANTES</w:t>
            </w:r>
          </w:p>
        </w:tc>
        <w:tc>
          <w:tcPr>
            <w:tcW w:type="dxa" w:w="66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color w:val="E9F0EC"/>
                <w:sz w:val="21"/>
                <w:szCs w:val="21"/>
              </w:rPr>
              <w:t xml:space="preserve">32 líderes (diretoria, gerências e coordenações)</w:t>
            </w:r>
          </w:p>
        </w:tc>
      </w:tr>
      <w:tr>
        <w:tc>
          <w:tcPr>
            <w:tcW w:type="dxa" w:w="34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6"/>
                <w:szCs w:val="16"/>
              </w:rPr>
              <w:t xml:space="preserve">GRUPOS FOCAIS</w:t>
            </w:r>
          </w:p>
        </w:tc>
        <w:tc>
          <w:tcPr>
            <w:tcW w:type="dxa" w:w="66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color w:val="E9F0EC"/>
                <w:sz w:val="21"/>
                <w:szCs w:val="21"/>
              </w:rPr>
              <w:t xml:space="preserve">4 rodadas</w:t>
            </w:r>
          </w:p>
        </w:tc>
      </w:tr>
      <w:tr>
        <w:tc>
          <w:tcPr>
            <w:tcW w:type="dxa" w:w="34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6"/>
                <w:szCs w:val="16"/>
              </w:rPr>
              <w:t xml:space="preserve">TRANSCRIÇÃO</w:t>
            </w:r>
          </w:p>
        </w:tc>
        <w:tc>
          <w:tcPr>
            <w:tcW w:type="dxa" w:w="66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color w:val="E9F0EC"/>
                <w:sz w:val="21"/>
                <w:szCs w:val="21"/>
              </w:rPr>
              <w:t xml:space="preserve">~6 horas de conversa</w:t>
            </w:r>
          </w:p>
        </w:tc>
      </w:tr>
      <w:tr>
        <w:tc>
          <w:tcPr>
            <w:tcW w:type="dxa" w:w="34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6"/>
                <w:szCs w:val="16"/>
              </w:rPr>
              <w:t xml:space="preserve">DURAÇÃO</w:t>
            </w:r>
          </w:p>
        </w:tc>
        <w:tc>
          <w:tcPr>
            <w:tcW w:type="dxa" w:w="66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color w:val="E9F0EC"/>
                <w:sz w:val="21"/>
                <w:szCs w:val="21"/>
              </w:rPr>
              <w:t xml:space="preserve">1 dia, presencial</w:t>
            </w:r>
          </w:p>
        </w:tc>
      </w:tr>
      <w:tr>
        <w:tc>
          <w:tcPr>
            <w:tcW w:type="dxa" w:w="34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6"/>
                <w:szCs w:val="16"/>
              </w:rPr>
              <w:t xml:space="preserve">DATA</w:t>
            </w:r>
          </w:p>
        </w:tc>
        <w:tc>
          <w:tcPr>
            <w:tcW w:type="dxa" w:w="66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color w:val="E9F0EC"/>
                <w:sz w:val="21"/>
                <w:szCs w:val="21"/>
              </w:rPr>
              <w:t xml:space="preserve">12 de março de 2026</w:t>
            </w:r>
          </w:p>
        </w:tc>
      </w:tr>
    </w:tbl>
    <w:p>
      <w:pPr>
        <w:spacing w:after="80" w:before="320"/>
      </w:pPr>
      <w:r>
        <w:rPr>
          <w:rFonts w:ascii="JetBrains Mono" w:cs="JetBrains Mono" w:eastAsia="JetBrains Mono" w:hAnsi="JetBrains Mono"/>
          <w:b/>
          <w:bCs/>
          <w:color w:val="3FE0C5"/>
          <w:spacing w:val="30"/>
          <w:sz w:val="17"/>
          <w:szCs w:val="17"/>
        </w:rPr>
        <w:t xml:space="preserve">02 · SUMÁRIO EXECUTIVO</w:t>
      </w:r>
    </w:p>
    <w:p>
      <w:pPr>
        <w:spacing w:after="120" w:line="300"/>
      </w:pPr>
      <w:r>
        <w:rPr>
          <w:rFonts w:ascii="Instrument Sans" w:cs="Instrument Sans" w:eastAsia="Instrument Sans" w:hAnsi="Instrument Sans"/>
          <w:color w:val="E9F0EC"/>
          <w:sz w:val="22"/>
          <w:szCs w:val="22"/>
        </w:rPr>
        <w:t xml:space="preserve">A liderança da Empresa Exemplo chega alinhada no propósito e dividida na execução. Há orgulho claro do que o time entregou em um ano difícil e energia para crescer. O maior atrito do dia esteve entre decidir rápido e manter todos alinhados. A sala pediu papéis mais nítidos, menos decisão no improviso e mais dado na hora de escolher. Saímos do dia com prioridades definidas e um dono para cada frente.</w:t>
      </w:r>
    </w:p>
    <w:p>
      <w:pPr>
        <w:spacing w:after="80" w:before="320"/>
      </w:pPr>
      <w:r>
        <w:rPr>
          <w:rFonts w:ascii="JetBrains Mono" w:cs="JetBrains Mono" w:eastAsia="JetBrains Mono" w:hAnsi="JetBrains Mono"/>
          <w:b/>
          <w:bCs/>
          <w:color w:val="3FE0C5"/>
          <w:spacing w:val="30"/>
          <w:sz w:val="17"/>
          <w:szCs w:val="17"/>
        </w:rPr>
        <w:t xml:space="preserve">03 · O QUE OUVIMOS AO LONGO DO DIA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Orgulho do que o time construiu mesmo em um cenário apertado.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Vontade de decidir mais rápido, com menos reuniões e mais clareza.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Sensação de que faltam alçadas definidas: ninguém sabe ao certo até onde pode ir.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Confiança entre áreas vista como o que mais destrava resultado.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Cansaço com decisões tomadas no achismo, sem dado por perto.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Desejo de cuidar das pessoas sem perder o ritmo de entrega.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Busca por um propósito comum que conecte as frentes do negócio.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Reconhecimento honesto de que ninguém entrega sozinho.</w:t>
      </w:r>
    </w:p>
    <w:p>
      <w:pPr>
        <w:spacing w:after="80" w:before="320"/>
      </w:pPr>
      <w:r>
        <w:rPr>
          <w:rFonts w:ascii="JetBrains Mono" w:cs="JetBrains Mono" w:eastAsia="JetBrains Mono" w:hAnsi="JetBrains Mono"/>
          <w:b/>
          <w:bCs/>
          <w:color w:val="3FE0C5"/>
          <w:spacing w:val="30"/>
          <w:sz w:val="17"/>
          <w:szCs w:val="17"/>
        </w:rPr>
        <w:t xml:space="preserve">04 · TEMAS POR FREQUÊNCIA DE MENÇÃO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200"/>
        <w:gridCol w:w="1400"/>
        <w:gridCol w:w="4480"/>
      </w:tblGrid>
      <w:tr>
        <w:trPr>
          <w:tblHeader/>
        </w:trPr>
        <w:tc>
          <w:tcPr>
            <w:tcW w:type="dxa" w:w="4200"/>
            <w:tcBorders>
              <w:top w:val="none"/>
              <w:left w:val="none"/>
              <w:bottom w:val="single" w:color="1C3531" w:sz="4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left"/>
            </w:pPr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4"/>
                <w:szCs w:val="14"/>
              </w:rPr>
              <w:t xml:space="preserve">TEMA AGRUPADO</w:t>
            </w:r>
          </w:p>
        </w:tc>
        <w:tc>
          <w:tcPr>
            <w:tcW w:type="dxa" w:w="1400"/>
            <w:tcBorders>
              <w:top w:val="none"/>
              <w:left w:val="none"/>
              <w:bottom w:val="single" w:color="1C3531" w:sz="4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right"/>
            </w:pPr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4"/>
                <w:szCs w:val="14"/>
              </w:rPr>
              <w:t xml:space="preserve">MENÇÕES</w:t>
            </w:r>
          </w:p>
        </w:tc>
        <w:tc>
          <w:tcPr>
            <w:tcW w:type="dxa" w:w="4480"/>
            <w:tcBorders>
              <w:top w:val="none"/>
              <w:left w:val="none"/>
              <w:bottom w:val="single" w:color="1C3531" w:sz="4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left"/>
            </w:pPr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4"/>
                <w:szCs w:val="14"/>
              </w:rPr>
              <w:t xml:space="preserve">CITAÇÃO REPRESENTATIVA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single" w:color="1C3531" w:sz="2"/>
              <w:right w:val="none"/>
            </w:tcBorders>
            <w:shd w:fill="0F211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b/>
                <w:bCs/>
                <w:color w:val="E9F0EC"/>
                <w:sz w:val="21"/>
                <w:szCs w:val="21"/>
              </w:rPr>
              <w:t xml:space="preserve">Cliente no centro das decisões</w:t>
            </w:r>
          </w:p>
        </w:tc>
        <w:tc>
          <w:tcPr>
            <w:tcW w:type="dxa" w:w="1400"/>
            <w:tcBorders>
              <w:top w:val="none"/>
              <w:left w:val="none"/>
              <w:bottom w:val="single" w:color="1C3531" w:sz="2"/>
              <w:right w:val="none"/>
            </w:tcBorders>
            <w:shd w:fill="0F211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right"/>
            </w:pPr>
            <w:r>
              <w:rPr>
                <w:rFonts w:ascii="JetBrains Mono" w:cs="JetBrains Mono" w:eastAsia="JetBrains Mono" w:hAnsi="JetBrains Mono"/>
                <w:b/>
                <w:bCs/>
                <w:color w:val="3FE0C5"/>
                <w:sz w:val="22"/>
                <w:szCs w:val="22"/>
              </w:rPr>
              <w:t xml:space="preserve">71</w:t>
            </w:r>
          </w:p>
        </w:tc>
        <w:tc>
          <w:tcPr>
            <w:tcW w:type="dxa" w:w="4480"/>
            <w:tcBorders>
              <w:top w:val="none"/>
              <w:left w:val="none"/>
              <w:bottom w:val="single" w:color="1C3531" w:sz="2"/>
              <w:right w:val="none"/>
            </w:tcBorders>
            <w:shd w:fill="0F211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i/>
                <w:iCs/>
                <w:color w:val="9DB3AC"/>
                <w:sz w:val="20"/>
                <w:szCs w:val="20"/>
              </w:rPr>
              <w:t xml:space="preserve">“Toda escolha boa começa pelo que o cliente sente.”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b/>
                <w:bCs/>
                <w:color w:val="E9F0EC"/>
                <w:sz w:val="21"/>
                <w:szCs w:val="21"/>
              </w:rPr>
              <w:t xml:space="preserve">Clareza de papéis e alçadas</w:t>
            </w:r>
          </w:p>
        </w:tc>
        <w:tc>
          <w:tcPr>
            <w:tcW w:type="dxa" w:w="14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right"/>
            </w:pPr>
            <w:r>
              <w:rPr>
                <w:rFonts w:ascii="JetBrains Mono" w:cs="JetBrains Mono" w:eastAsia="JetBrains Mono" w:hAnsi="JetBrains Mono"/>
                <w:b/>
                <w:bCs/>
                <w:color w:val="3FE0C5"/>
                <w:sz w:val="22"/>
                <w:szCs w:val="22"/>
              </w:rPr>
              <w:t xml:space="preserve">48</w:t>
            </w:r>
          </w:p>
        </w:tc>
        <w:tc>
          <w:tcPr>
            <w:tcW w:type="dxa" w:w="44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i/>
                <w:iCs/>
                <w:color w:val="9DB3AC"/>
                <w:sz w:val="20"/>
                <w:szCs w:val="20"/>
              </w:rPr>
              <w:t xml:space="preserve">“Quero decidir rápido, mas preciso saber até onde vai a minha alçada.”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single" w:color="1C3531" w:sz="2"/>
              <w:right w:val="none"/>
            </w:tcBorders>
            <w:shd w:fill="0F211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b/>
                <w:bCs/>
                <w:color w:val="E9F0EC"/>
                <w:sz w:val="21"/>
                <w:szCs w:val="21"/>
              </w:rPr>
              <w:t xml:space="preserve">Confiança entre áreas</w:t>
            </w:r>
          </w:p>
        </w:tc>
        <w:tc>
          <w:tcPr>
            <w:tcW w:type="dxa" w:w="1400"/>
            <w:tcBorders>
              <w:top w:val="none"/>
              <w:left w:val="none"/>
              <w:bottom w:val="single" w:color="1C3531" w:sz="2"/>
              <w:right w:val="none"/>
            </w:tcBorders>
            <w:shd w:fill="0F211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right"/>
            </w:pPr>
            <w:r>
              <w:rPr>
                <w:rFonts w:ascii="JetBrains Mono" w:cs="JetBrains Mono" w:eastAsia="JetBrains Mono" w:hAnsi="JetBrains Mono"/>
                <w:b/>
                <w:bCs/>
                <w:color w:val="3FE0C5"/>
                <w:sz w:val="22"/>
                <w:szCs w:val="22"/>
              </w:rPr>
              <w:t xml:space="preserve">39</w:t>
            </w:r>
          </w:p>
        </w:tc>
        <w:tc>
          <w:tcPr>
            <w:tcW w:type="dxa" w:w="4480"/>
            <w:tcBorders>
              <w:top w:val="none"/>
              <w:left w:val="none"/>
              <w:bottom w:val="single" w:color="1C3531" w:sz="2"/>
              <w:right w:val="none"/>
            </w:tcBorders>
            <w:shd w:fill="0F211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i/>
                <w:iCs/>
                <w:color w:val="9DB3AC"/>
                <w:sz w:val="20"/>
                <w:szCs w:val="20"/>
              </w:rPr>
              <w:t xml:space="preserve">“A gente entrega mais quando para de competir entre times.”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b/>
                <w:bCs/>
                <w:color w:val="E9F0EC"/>
                <w:sz w:val="21"/>
                <w:szCs w:val="21"/>
              </w:rPr>
              <w:t xml:space="preserve">Decisão baseada em dado</w:t>
            </w:r>
          </w:p>
        </w:tc>
        <w:tc>
          <w:tcPr>
            <w:tcW w:type="dxa" w:w="14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right"/>
            </w:pPr>
            <w:r>
              <w:rPr>
                <w:rFonts w:ascii="JetBrains Mono" w:cs="JetBrains Mono" w:eastAsia="JetBrains Mono" w:hAnsi="JetBrains Mono"/>
                <w:b/>
                <w:bCs/>
                <w:color w:val="3FE0C5"/>
                <w:sz w:val="22"/>
                <w:szCs w:val="22"/>
              </w:rPr>
              <w:t xml:space="preserve">27</w:t>
            </w:r>
          </w:p>
        </w:tc>
        <w:tc>
          <w:tcPr>
            <w:tcW w:type="dxa" w:w="44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i/>
                <w:iCs/>
                <w:color w:val="9DB3AC"/>
                <w:sz w:val="20"/>
                <w:szCs w:val="20"/>
              </w:rPr>
              <w:t xml:space="preserve">“Cansei de decidir no achismo.”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single" w:color="1C3531" w:sz="2"/>
              <w:right w:val="none"/>
            </w:tcBorders>
            <w:shd w:fill="0F211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b/>
                <w:bCs/>
                <w:color w:val="E9F0EC"/>
                <w:sz w:val="21"/>
                <w:szCs w:val="21"/>
              </w:rPr>
              <w:t xml:space="preserve">Ritmo sustentável</w:t>
            </w:r>
          </w:p>
        </w:tc>
        <w:tc>
          <w:tcPr>
            <w:tcW w:type="dxa" w:w="1400"/>
            <w:tcBorders>
              <w:top w:val="none"/>
              <w:left w:val="none"/>
              <w:bottom w:val="single" w:color="1C3531" w:sz="2"/>
              <w:right w:val="none"/>
            </w:tcBorders>
            <w:shd w:fill="0F211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right"/>
            </w:pPr>
            <w:r>
              <w:rPr>
                <w:rFonts w:ascii="JetBrains Mono" w:cs="JetBrains Mono" w:eastAsia="JetBrains Mono" w:hAnsi="JetBrains Mono"/>
                <w:b/>
                <w:bCs/>
                <w:color w:val="3FE0C5"/>
                <w:sz w:val="22"/>
                <w:szCs w:val="22"/>
              </w:rPr>
              <w:t xml:space="preserve">22</w:t>
            </w:r>
          </w:p>
        </w:tc>
        <w:tc>
          <w:tcPr>
            <w:tcW w:type="dxa" w:w="4480"/>
            <w:tcBorders>
              <w:top w:val="none"/>
              <w:left w:val="none"/>
              <w:bottom w:val="single" w:color="1C3531" w:sz="2"/>
              <w:right w:val="none"/>
            </w:tcBorders>
            <w:shd w:fill="0F211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i/>
                <w:iCs/>
                <w:color w:val="9DB3AC"/>
                <w:sz w:val="20"/>
                <w:szCs w:val="20"/>
              </w:rPr>
              <w:t xml:space="preserve">“Dá para ser intenso sem queimar as pessoas.”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b/>
                <w:bCs/>
                <w:color w:val="E9F0EC"/>
                <w:sz w:val="21"/>
                <w:szCs w:val="21"/>
              </w:rPr>
              <w:t xml:space="preserve">Propósito comum</w:t>
            </w:r>
          </w:p>
        </w:tc>
        <w:tc>
          <w:tcPr>
            <w:tcW w:type="dxa" w:w="14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right"/>
            </w:pPr>
            <w:r>
              <w:rPr>
                <w:rFonts w:ascii="JetBrains Mono" w:cs="JetBrains Mono" w:eastAsia="JetBrains Mono" w:hAnsi="JetBrains Mono"/>
                <w:b/>
                <w:bCs/>
                <w:color w:val="3FE0C5"/>
                <w:sz w:val="22"/>
                <w:szCs w:val="22"/>
              </w:rPr>
              <w:t xml:space="preserve">16</w:t>
            </w:r>
          </w:p>
        </w:tc>
        <w:tc>
          <w:tcPr>
            <w:tcW w:type="dxa" w:w="44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i/>
                <w:iCs/>
                <w:color w:val="9DB3AC"/>
                <w:sz w:val="20"/>
                <w:szCs w:val="20"/>
              </w:rPr>
              <w:t xml:space="preserve">“Falta uma frase que todo mundo aqui repetiria sem pensar.”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single" w:color="1C3531" w:sz="2"/>
              <w:right w:val="none"/>
            </w:tcBorders>
            <w:shd w:fill="0F211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b/>
                <w:bCs/>
                <w:color w:val="E9F0EC"/>
                <w:sz w:val="21"/>
                <w:szCs w:val="21"/>
              </w:rPr>
              <w:t xml:space="preserve">Autonomia com responsabilidade</w:t>
            </w:r>
          </w:p>
        </w:tc>
        <w:tc>
          <w:tcPr>
            <w:tcW w:type="dxa" w:w="1400"/>
            <w:tcBorders>
              <w:top w:val="none"/>
              <w:left w:val="none"/>
              <w:bottom w:val="single" w:color="1C3531" w:sz="2"/>
              <w:right w:val="none"/>
            </w:tcBorders>
            <w:shd w:fill="0F211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right"/>
            </w:pPr>
            <w:r>
              <w:rPr>
                <w:rFonts w:ascii="JetBrains Mono" w:cs="JetBrains Mono" w:eastAsia="JetBrains Mono" w:hAnsi="JetBrains Mono"/>
                <w:b/>
                <w:bCs/>
                <w:color w:val="3FE0C5"/>
                <w:sz w:val="22"/>
                <w:szCs w:val="22"/>
              </w:rPr>
              <w:t xml:space="preserve">11</w:t>
            </w:r>
          </w:p>
        </w:tc>
        <w:tc>
          <w:tcPr>
            <w:tcW w:type="dxa" w:w="4480"/>
            <w:tcBorders>
              <w:top w:val="none"/>
              <w:left w:val="none"/>
              <w:bottom w:val="single" w:color="1C3531" w:sz="2"/>
              <w:right w:val="none"/>
            </w:tcBorders>
            <w:shd w:fill="0F211E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i/>
                <w:iCs/>
                <w:color w:val="9DB3AC"/>
                <w:sz w:val="20"/>
                <w:szCs w:val="20"/>
              </w:rPr>
              <w:t xml:space="preserve">“Autonomia sem dono vira bagunça.”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b/>
                <w:bCs/>
                <w:color w:val="E9F0EC"/>
                <w:sz w:val="21"/>
                <w:szCs w:val="21"/>
              </w:rPr>
              <w:t xml:space="preserve">Comunicação entre níveis</w:t>
            </w:r>
          </w:p>
        </w:tc>
        <w:tc>
          <w:tcPr>
            <w:tcW w:type="dxa" w:w="14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right"/>
            </w:pPr>
            <w:r>
              <w:rPr>
                <w:rFonts w:ascii="JetBrains Mono" w:cs="JetBrains Mono" w:eastAsia="JetBrains Mono" w:hAnsi="JetBrains Mono"/>
                <w:b/>
                <w:bCs/>
                <w:color w:val="3FE0C5"/>
                <w:sz w:val="22"/>
                <w:szCs w:val="22"/>
              </w:rPr>
              <w:t xml:space="preserve">7</w:t>
            </w:r>
          </w:p>
        </w:tc>
        <w:tc>
          <w:tcPr>
            <w:tcW w:type="dxa" w:w="44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i/>
                <w:iCs/>
                <w:color w:val="9DB3AC"/>
                <w:sz w:val="20"/>
                <w:szCs w:val="20"/>
              </w:rPr>
              <w:t xml:space="preserve">“O que a gente decide aqui some no caminho até a ponta.”</w:t>
            </w:r>
          </w:p>
        </w:tc>
      </w:tr>
    </w:tbl>
    <w:p>
      <w:pPr>
        <w:spacing w:after="80" w:before="320"/>
      </w:pPr>
      <w:r>
        <w:rPr>
          <w:rFonts w:ascii="JetBrains Mono" w:cs="JetBrains Mono" w:eastAsia="JetBrains Mono" w:hAnsi="JetBrains Mono"/>
          <w:b/>
          <w:bCs/>
          <w:color w:val="3FE0C5"/>
          <w:spacing w:val="30"/>
          <w:sz w:val="17"/>
          <w:szCs w:val="17"/>
        </w:rPr>
        <w:t xml:space="preserve">05 · TENSÕES E POLARIDADES DA SALA</w:t>
      </w:r>
    </w:p>
    <w:p>
      <w:pPr>
        <w:pBdr>
          <w:left w:val="single" w:color="3FE0C5" w:sz="18" w:space="12"/>
        </w:pBdr>
        <w:spacing w:after="140"/>
        <w:ind w:left="120"/>
      </w:pPr>
      <w:r>
        <w:rPr>
          <w:rFonts w:ascii="Syne" w:cs="Syne" w:eastAsia="Syne" w:hAnsi="Syne"/>
          <w:b/>
          <w:bCs/>
          <w:color w:val="E9F0EC"/>
          <w:sz w:val="22"/>
          <w:szCs w:val="22"/>
        </w:rPr>
        <w:t xml:space="preserve">Velocidade vs. alinhamento</w:t>
      </w:r>
      <w:r>
        <w:rPr>
          <w:rFonts w:ascii="Instrument Sans" w:cs="Instrument Sans" w:eastAsia="Instrument Sans" w:hAnsi="Instrument Sans"/>
          <w:color w:val="9DB3AC"/>
          <w:sz w:val="20"/>
          <w:szCs w:val="20"/>
        </w:rPr>
        <w:t xml:space="preserve">  —  decidir rápido sem deixar gente para trás</w:t>
      </w:r>
    </w:p>
    <w:p>
      <w:pPr>
        <w:pBdr>
          <w:left w:val="single" w:color="3FE0C5" w:sz="18" w:space="12"/>
        </w:pBdr>
        <w:spacing w:after="140"/>
        <w:ind w:left="120"/>
      </w:pPr>
      <w:r>
        <w:rPr>
          <w:rFonts w:ascii="Syne" w:cs="Syne" w:eastAsia="Syne" w:hAnsi="Syne"/>
          <w:b/>
          <w:bCs/>
          <w:color w:val="E9F0EC"/>
          <w:sz w:val="22"/>
          <w:szCs w:val="22"/>
        </w:rPr>
        <w:t xml:space="preserve">Autonomia vs. padronização</w:t>
      </w:r>
      <w:r>
        <w:rPr>
          <w:rFonts w:ascii="Instrument Sans" w:cs="Instrument Sans" w:eastAsia="Instrument Sans" w:hAnsi="Instrument Sans"/>
          <w:color w:val="9DB3AC"/>
          <w:sz w:val="20"/>
          <w:szCs w:val="20"/>
        </w:rPr>
        <w:t xml:space="preserve">  —  liberdade das áreas sem perder a consistência da empresa</w:t>
      </w:r>
    </w:p>
    <w:p>
      <w:pPr>
        <w:pBdr>
          <w:left w:val="single" w:color="3FE0C5" w:sz="18" w:space="12"/>
        </w:pBdr>
        <w:spacing w:after="140"/>
        <w:ind w:left="120"/>
      </w:pPr>
      <w:r>
        <w:rPr>
          <w:rFonts w:ascii="Syne" w:cs="Syne" w:eastAsia="Syne" w:hAnsi="Syne"/>
          <w:b/>
          <w:bCs/>
          <w:color w:val="E9F0EC"/>
          <w:sz w:val="22"/>
          <w:szCs w:val="22"/>
        </w:rPr>
        <w:t xml:space="preserve">Cuidado com pessoas vs. pressão por resultado</w:t>
      </w:r>
      <w:r>
        <w:rPr>
          <w:rFonts w:ascii="Instrument Sans" w:cs="Instrument Sans" w:eastAsia="Instrument Sans" w:hAnsi="Instrument Sans"/>
          <w:color w:val="9DB3AC"/>
          <w:sz w:val="20"/>
          <w:szCs w:val="20"/>
        </w:rPr>
        <w:t xml:space="preserve">  —  sustentar o time sem afrouxar a entrega</w:t>
      </w:r>
    </w:p>
    <w:p>
      <w:pPr>
        <w:pBdr>
          <w:left w:val="single" w:color="3FE0C5" w:sz="18" w:space="12"/>
        </w:pBdr>
        <w:spacing w:after="140"/>
        <w:ind w:left="120"/>
      </w:pPr>
      <w:r>
        <w:rPr>
          <w:rFonts w:ascii="Syne" w:cs="Syne" w:eastAsia="Syne" w:hAnsi="Syne"/>
          <w:b/>
          <w:bCs/>
          <w:color w:val="E9F0EC"/>
          <w:sz w:val="22"/>
          <w:szCs w:val="22"/>
        </w:rPr>
        <w:t xml:space="preserve">Longo prazo vs. urgência do trimestre</w:t>
      </w:r>
      <w:r>
        <w:rPr>
          <w:rFonts w:ascii="Instrument Sans" w:cs="Instrument Sans" w:eastAsia="Instrument Sans" w:hAnsi="Instrument Sans"/>
          <w:color w:val="9DB3AC"/>
          <w:sz w:val="20"/>
          <w:szCs w:val="20"/>
        </w:rPr>
        <w:t xml:space="preserve">  —  construir o futuro enquanto se fecha o mês</w:t>
      </w:r>
    </w:p>
    <w:p>
      <w:pPr>
        <w:spacing w:after="80" w:before="320"/>
      </w:pPr>
      <w:r>
        <w:rPr>
          <w:rFonts w:ascii="JetBrains Mono" w:cs="JetBrains Mono" w:eastAsia="JetBrains Mono" w:hAnsi="JetBrains Mono"/>
          <w:b/>
          <w:bCs/>
          <w:color w:val="3FE0C5"/>
          <w:spacing w:val="30"/>
          <w:sz w:val="17"/>
          <w:szCs w:val="17"/>
        </w:rPr>
        <w:t xml:space="preserve">06 · DECISÕES REGISTRADAS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6200"/>
        <w:gridCol w:w="2600"/>
        <w:gridCol w:w="1280"/>
      </w:tblGrid>
      <w:tr>
        <w:trPr>
          <w:tblHeader/>
        </w:trPr>
        <w:tc>
          <w:tcPr>
            <w:tcW w:type="dxa" w:w="6200"/>
            <w:tcBorders>
              <w:top w:val="none"/>
              <w:left w:val="none"/>
              <w:bottom w:val="single" w:color="1C3531" w:sz="4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left"/>
            </w:pPr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4"/>
                <w:szCs w:val="14"/>
              </w:rPr>
              <w:t xml:space="preserve">DECISÃO</w:t>
            </w:r>
          </w:p>
        </w:tc>
        <w:tc>
          <w:tcPr>
            <w:tcW w:type="dxa" w:w="2600"/>
            <w:tcBorders>
              <w:top w:val="none"/>
              <w:left w:val="none"/>
              <w:bottom w:val="single" w:color="1C3531" w:sz="4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left"/>
            </w:pPr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4"/>
                <w:szCs w:val="14"/>
              </w:rPr>
              <w:t xml:space="preserve">DONO</w:t>
            </w:r>
          </w:p>
        </w:tc>
        <w:tc>
          <w:tcPr>
            <w:tcW w:type="dxa" w:w="1280"/>
            <w:tcBorders>
              <w:top w:val="none"/>
              <w:left w:val="none"/>
              <w:bottom w:val="single" w:color="1C3531" w:sz="4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pPr>
              <w:jc w:val="left"/>
            </w:pPr>
            <w:r>
              <w:rPr>
                <w:rFonts w:ascii="JetBrains Mono" w:cs="JetBrains Mono" w:eastAsia="JetBrains Mono" w:hAnsi="JetBrains Mono"/>
                <w:color w:val="9DB3AC"/>
                <w:spacing w:val="10"/>
                <w:sz w:val="14"/>
                <w:szCs w:val="14"/>
              </w:rPr>
              <w:t xml:space="preserve">PRAZO</w:t>
            </w:r>
          </w:p>
        </w:tc>
      </w:tr>
      <w:tr>
        <w:tc>
          <w:tcPr>
            <w:tcW w:type="dxa" w:w="62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b/>
                <w:bCs/>
                <w:color w:val="E9F0EC"/>
                <w:sz w:val="21"/>
                <w:szCs w:val="21"/>
              </w:rPr>
              <w:t xml:space="preserve">Definir um mapa de alçadas de decisão por nível de liderança</w:t>
            </w:r>
          </w:p>
        </w:tc>
        <w:tc>
          <w:tcPr>
            <w:tcW w:type="dxa" w:w="26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9DB3AC"/>
                <w:sz w:val="17"/>
                <w:szCs w:val="17"/>
              </w:rPr>
              <w:t xml:space="preserve">Ana, Diretoria de Operações</w:t>
            </w:r>
          </w:p>
        </w:tc>
        <w:tc>
          <w:tcPr>
            <w:tcW w:type="dxa" w:w="12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3FE0C5"/>
                <w:sz w:val="17"/>
                <w:szCs w:val="17"/>
              </w:rPr>
              <w:t xml:space="preserve">30 dias</w:t>
            </w:r>
          </w:p>
        </w:tc>
      </w:tr>
      <w:tr>
        <w:tc>
          <w:tcPr>
            <w:tcW w:type="dxa" w:w="62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b/>
                <w:bCs/>
                <w:color w:val="E9F0EC"/>
                <w:sz w:val="21"/>
                <w:szCs w:val="21"/>
              </w:rPr>
              <w:t xml:space="preserve">Criar um ritual quinzenal de priorização, com pauta fixa</w:t>
            </w:r>
          </w:p>
        </w:tc>
        <w:tc>
          <w:tcPr>
            <w:tcW w:type="dxa" w:w="26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9DB3AC"/>
                <w:sz w:val="17"/>
                <w:szCs w:val="17"/>
              </w:rPr>
              <w:t xml:space="preserve">Bruno, Gerência Comercial</w:t>
            </w:r>
          </w:p>
        </w:tc>
        <w:tc>
          <w:tcPr>
            <w:tcW w:type="dxa" w:w="12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3FE0C5"/>
                <w:sz w:val="17"/>
                <w:szCs w:val="17"/>
              </w:rPr>
              <w:t xml:space="preserve">Próximo mês</w:t>
            </w:r>
          </w:p>
        </w:tc>
      </w:tr>
      <w:tr>
        <w:tc>
          <w:tcPr>
            <w:tcW w:type="dxa" w:w="62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b/>
                <w:bCs/>
                <w:color w:val="E9F0EC"/>
                <w:sz w:val="21"/>
                <w:szCs w:val="21"/>
              </w:rPr>
              <w:t xml:space="preserve">Padronizar como as decisões são comunicadas até a ponta</w:t>
            </w:r>
          </w:p>
        </w:tc>
        <w:tc>
          <w:tcPr>
            <w:tcW w:type="dxa" w:w="26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9DB3AC"/>
                <w:sz w:val="17"/>
                <w:szCs w:val="17"/>
              </w:rPr>
              <w:t xml:space="preserve">Carla, RH e Comunicação</w:t>
            </w:r>
          </w:p>
        </w:tc>
        <w:tc>
          <w:tcPr>
            <w:tcW w:type="dxa" w:w="12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3FE0C5"/>
                <w:sz w:val="17"/>
                <w:szCs w:val="17"/>
              </w:rPr>
              <w:t xml:space="preserve">45 dias</w:t>
            </w:r>
          </w:p>
        </w:tc>
      </w:tr>
      <w:tr>
        <w:tc>
          <w:tcPr>
            <w:tcW w:type="dxa" w:w="62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Instrument Sans" w:cs="Instrument Sans" w:eastAsia="Instrument Sans" w:hAnsi="Instrument Sans"/>
                <w:b/>
                <w:bCs/>
                <w:color w:val="E9F0EC"/>
                <w:sz w:val="21"/>
                <w:szCs w:val="21"/>
              </w:rPr>
              <w:t xml:space="preserve">Eleger 3 indicadores para apoiar decisões e sair do achismo</w:t>
            </w:r>
          </w:p>
        </w:tc>
        <w:tc>
          <w:tcPr>
            <w:tcW w:type="dxa" w:w="260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9DB3AC"/>
                <w:sz w:val="17"/>
                <w:szCs w:val="17"/>
              </w:rPr>
              <w:t xml:space="preserve">Diego, Estratégia</w:t>
            </w:r>
          </w:p>
        </w:tc>
        <w:tc>
          <w:tcPr>
            <w:tcW w:type="dxa" w:w="1280"/>
            <w:tcBorders>
              <w:top w:val="none"/>
              <w:left w:val="none"/>
              <w:bottom w:val="single" w:color="1C3531" w:sz="2"/>
              <w:right w:val="none"/>
            </w:tcBorders>
            <w:shd w:fill="0C1917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JetBrains Mono" w:cs="JetBrains Mono" w:eastAsia="JetBrains Mono" w:hAnsi="JetBrains Mono"/>
                <w:color w:val="3FE0C5"/>
                <w:sz w:val="17"/>
                <w:szCs w:val="17"/>
              </w:rPr>
              <w:t xml:space="preserve">60 dias</w:t>
            </w:r>
          </w:p>
        </w:tc>
      </w:tr>
    </w:tbl>
    <w:p>
      <w:pPr>
        <w:spacing w:after="80" w:before="320"/>
      </w:pPr>
      <w:r>
        <w:rPr>
          <w:rFonts w:ascii="JetBrains Mono" w:cs="JetBrains Mono" w:eastAsia="JetBrains Mono" w:hAnsi="JetBrains Mono"/>
          <w:b/>
          <w:bCs/>
          <w:color w:val="3FE0C5"/>
          <w:spacing w:val="30"/>
          <w:sz w:val="17"/>
          <w:szCs w:val="17"/>
        </w:rPr>
        <w:t xml:space="preserve">07 · PLANO DE AÇÃO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Mapear as decisões recorrentes e quem responde por cada uma.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Rodar o primeiro ciclo quinzenal de priorização em duas semanas.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Desenhar um painel simples com os 3 indicadores acordados.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Comunicar o mapa de alçadas para todas as gerências.</w:t>
      </w:r>
    </w:p>
    <w:p>
      <w:pPr>
        <w:pStyle w:val="ListParagraph"/>
        <w:numPr>
          <w:ilvl w:val="0"/>
          <w:numId w:val="3"/>
        </w:numPr>
        <w:spacing w:after="80" w:line="28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Revisar o acordo em 90 dias e ajustar o que não pegou.</w:t>
      </w:r>
    </w:p>
    <w:p>
      <w:pPr>
        <w:spacing w:after="80" w:before="320"/>
      </w:pPr>
      <w:r>
        <w:rPr>
          <w:rFonts w:ascii="JetBrains Mono" w:cs="JetBrains Mono" w:eastAsia="JetBrains Mono" w:hAnsi="JetBrains Mono"/>
          <w:b/>
          <w:bCs/>
          <w:color w:val="3FE0C5"/>
          <w:spacing w:val="30"/>
          <w:sz w:val="17"/>
          <w:szCs w:val="17"/>
        </w:rPr>
        <w:t xml:space="preserve">08 · ENCERRAMENTO</w:t>
      </w:r>
    </w:p>
    <w:p>
      <w:pPr>
        <w:pBdr>
          <w:left w:val="single" w:color="3FE0C5" w:sz="18" w:space="12"/>
        </w:pBdr>
        <w:spacing w:after="200" w:before="80"/>
        <w:ind w:left="120"/>
      </w:pPr>
      <w:r>
        <w:rPr>
          <w:rFonts w:ascii="Instrument Sans" w:cs="Instrument Sans" w:eastAsia="Instrument Sans" w:hAnsi="Instrument Sans"/>
          <w:color w:val="E9F0EC"/>
          <w:sz w:val="21"/>
          <w:szCs w:val="21"/>
        </w:rPr>
        <w:t xml:space="preserve">Esta síntese foi compilada e entregue à liderança no encerramento do workshop, no mesmo dia, sem retrabalho.</w:t>
      </w:r>
    </w:p>
    <w:p>
      <w:pPr>
        <w:pBdr>
          <w:top w:val="single" w:color="1C3531" w:sz="2" w:space="8"/>
        </w:pBdr>
        <w:spacing w:before="240"/>
      </w:pPr>
      <w:r>
        <w:rPr>
          <w:rFonts w:ascii="JetBrains Mono" w:cs="JetBrains Mono" w:eastAsia="JetBrains Mono" w:hAnsi="JetBrains Mono"/>
          <w:color w:val="9DB3AC"/>
          <w:sz w:val="14"/>
          <w:szCs w:val="14"/>
        </w:rPr>
        <w:t xml:space="preserve">Documento de demonstração. Empresa, pessoas, falas e números são inventados. Serve apenas para mostrar o formato e a profundidade do entregável real. Os projetos reais seguem sob sigilo dos parceiros e clientes.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460" w:hanging="280"/>
      </w:pPr>
      <w:rPr>
        <w:color w:val="3FE0C5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80"/>
      </w:pPr>
      <w:rPr>
        <w:color w:val="3FE0C5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strument Sans" w:cs="Instrument Sans" w:eastAsia="Instrument Sans" w:hAnsi="Instrument Sans"/>
        <w:color w:val="E9F0E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2026-06-30T05:52:51.033Z</dcterms:created>
  <dcterms:modified xsi:type="dcterms:W3CDTF">2026-06-30T05:52:51.034Z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